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Signin Soft Accessibility Conformance Report</w:t>
      </w:r>
    </w:p>
    <w:p>
      <w:pPr>
        <w:spacing w:after="120"/>
        <w:rPr>
          <w:color w:val="4A5670"/>
        </w:rPr>
      </w:pPr>
      <w:r>
        <w:rPr>
          <w:color w:val="4A5670"/>
        </w:rPr>
        <w:t xml:space="preserve">International Edition (INT) · Based on VPAT® Version 2.5Rev INT (ITI, April 2025)</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960"/>
      </w:tblGrid>
      <w:tr>
        <w:trPr>
          <w:cantSplit/>
          <w:tblHeader/>
        </w:trPr>
        <w:tc>
          <w:tcPr>
            <w:tcW w:type="dxa" w:w="24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Item</w:t>
            </w:r>
          </w:p>
        </w:tc>
        <w:tc>
          <w:tcPr>
            <w:tcW w:type="dxa" w:w="6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Detail</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Name of product</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Signin Soft public website (signinsoft.net) in English, Spanish, Hindi, Telugu and French, built on the Signin Soft WordPress theme 1.0</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Report date</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October 19, 2026</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Report version</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1.0 (interim)</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Report format</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VPAT® Version 2.5Rev INT (ITI, April 2025)</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Prepared by</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Self-assessed by KnackHook LLC for Signin Soft Inc. This report has not been reviewed or certified by a third party.</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Contact</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info@signinsoft.net · +1(302) 703-1113. Questions about this report, accessibility problems, or requests for content in another format.</w:t>
            </w:r>
          </w:p>
        </w:tc>
      </w:tr>
      <w:tr>
        <w:trPr>
          <w:cantSplit/>
        </w:trPr>
        <w:tc>
          <w:tcPr>
            <w:tcW w:type="dxa" w:w="24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Web version</w:t>
            </w:r>
          </w:p>
        </w:tc>
        <w:tc>
          <w:tcPr>
            <w:tcW w:type="dxa" w:w="6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https://signinsoft.net/accessibility/conformance-report/</w:t>
            </w:r>
          </w:p>
        </w:tc>
      </w:tr>
    </w:tbl>
    <w:p>
      <w:pPr>
        <w:pStyle w:val="Heading1"/>
        <w:keepNext/>
        <w:spacing w:after="120" w:before="240"/>
      </w:pPr>
      <w:r>
        <w:t xml:space="preserve">Summary</w:t>
      </w:r>
    </w:p>
    <w:p>
      <w:pPr>
        <w:spacing w:after="120"/>
      </w:pPr>
      <w:r>
        <w:t xml:space="preserve">Of the 56 WCAG 2.2 Level A and AA success criteria, 49 are supported and 7 do not apply (the site has no audio, no video with sound, no motion-operated features and no sign-in). No criterion is rated Does Not Support. One functional performance criterion, use without vision, is rated Partially Supports until the manual screen-reader pass is complete.</w:t>
      </w:r>
    </w:p>
    <w:p>
      <w:pPr>
        <w:pStyle w:val="Heading1"/>
        <w:keepNext/>
        <w:spacing w:after="120" w:before="240"/>
      </w:pPr>
      <w:r>
        <w:t xml:space="preserve">Notes</w:t>
      </w:r>
    </w:p>
    <w:p>
      <w:pPr>
        <w:pStyle w:val="ListParagraph"/>
        <w:numPr>
          <w:ilvl w:val="0"/>
          <w:numId w:val="2"/>
        </w:numPr>
        <w:spacing w:after="80"/>
      </w:pPr>
      <w:r>
        <w:t xml:space="preserve">Scope: every public page of the website in all five languages: the home page (hero video, about, technology cards, careers teaser, partners, contact), the software services, web development, digital marketing and training pages, the visa overview and the 14 country visa pages, tourist packages, flight tickets, careers (job cards with filters and search), job pages with the application form, the accessibility statement, this report and the privacy policy. The display bar (text size, high contrast, display settings), language menu, help desk, enquiry wizard and cookie card were tested on every page type.</w:t>
      </w:r>
    </w:p>
    <w:p>
      <w:pPr>
        <w:pStyle w:val="ListParagraph"/>
        <w:numPr>
          <w:ilvl w:val="0"/>
          <w:numId w:val="2"/>
        </w:numPr>
        <w:spacing w:after="80"/>
      </w:pPr>
      <w:r>
        <w:t xml:space="preserve">Not in scope: the WordPress administration screens used by staff, and third-party sites linked from the website (for example Facebook, X and LinkedIn).</w:t>
      </w:r>
    </w:p>
    <w:p>
      <w:pPr>
        <w:pStyle w:val="ListParagraph"/>
        <w:numPr>
          <w:ilvl w:val="0"/>
          <w:numId w:val="2"/>
        </w:numPr>
        <w:spacing w:after="80"/>
      </w:pPr>
      <w:r>
        <w:t xml:space="preserve">Job descriptions are published in English on the translated pages and are marked lang="en"; the full text of this report is also in English and marked lang="en" on the translated report pages.</w:t>
      </w:r>
    </w:p>
    <w:p>
      <w:pPr>
        <w:pStyle w:val="ListParagraph"/>
        <w:numPr>
          <w:ilvl w:val="0"/>
          <w:numId w:val="2"/>
        </w:numPr>
        <w:spacing w:after="80"/>
      </w:pPr>
      <w:r>
        <w:t xml:space="preserve">Interim status: testing was automated plus manual keyboard, visual and code inspection. A manual screen-reader pass (NVDA with Firefox or Chrome on Windows, VoiceOver with Safari on macOS and iOS) is scheduled and has not been done yet. Criterion 302.1 (Without Vision) and EN 301 549 clause 4.2.1 are reported as Partially Supports until it is complete; this report will be reissued with the results.</w:t>
      </w:r>
    </w:p>
    <w:p>
      <w:pPr>
        <w:pStyle w:val="ListParagraph"/>
        <w:numPr>
          <w:ilvl w:val="0"/>
          <w:numId w:val="2"/>
        </w:numPr>
        <w:spacing w:after="80"/>
      </w:pPr>
      <w:r>
        <w:t xml:space="preserve">This report covers conformance at the date above. The site is updated through WordPress; new content is checked against the same criteria before it is published.</w:t>
      </w:r>
    </w:p>
    <w:p>
      <w:pPr>
        <w:pStyle w:val="Heading1"/>
        <w:keepNext/>
        <w:spacing w:after="120" w:before="240"/>
      </w:pPr>
      <w:r>
        <w:t xml:space="preserve">Evaluation methods used</w:t>
      </w:r>
    </w:p>
    <w:p>
      <w:pPr>
        <w:pStyle w:val="ListParagraph"/>
        <w:numPr>
          <w:ilvl w:val="0"/>
          <w:numId w:val="2"/>
        </w:numPr>
        <w:spacing w:after="80"/>
      </w:pPr>
      <w:r>
        <w:t xml:space="preserve">Automated testing with axe-core 4.14 (rule sets WCAG 2.0/2.1/2.2 A and AA plus best practices) on 19 representative pages covering every template and all five languages, at 1440 × 900 desktop and 390 × 844 phone viewports, with the cookie card showing and dismissed, and inside the open display settings, language menu, help desk, enquiry wizard (including its error state) and flipped technology cards. Result: 0 violations.</w:t>
      </w:r>
    </w:p>
    <w:p>
      <w:pPr>
        <w:pStyle w:val="ListParagraph"/>
        <w:numPr>
          <w:ilvl w:val="0"/>
          <w:numId w:val="2"/>
        </w:numPr>
        <w:spacing w:after="80"/>
      </w:pPr>
      <w:r>
        <w:t xml:space="preserve">Color contrast re-tested with high contrast switched on: 0 failures.</w:t>
      </w:r>
    </w:p>
    <w:p>
      <w:pPr>
        <w:pStyle w:val="ListParagraph"/>
        <w:numPr>
          <w:ilvl w:val="0"/>
          <w:numId w:val="2"/>
        </w:numPr>
        <w:spacing w:after="80"/>
      </w:pPr>
      <w:r>
        <w:t xml:space="preserve">Manual keyboard walkthrough (Chromium via Playwright 1.64): skip link, text size buttons, language menu (arrow keys, Escape), display settings, main navigation and Services menu (arrow keys), technology cards (focus moves to the revealed side and back), help desk dialog (focus contained, Escape closes and returns focus), enquiry wizard (step navigation, errors move focus to the first invalid field), careers filters, job application form.</w:t>
      </w:r>
    </w:p>
    <w:p>
      <w:pPr>
        <w:pStyle w:val="ListParagraph"/>
        <w:numPr>
          <w:ilvl w:val="0"/>
          <w:numId w:val="2"/>
        </w:numPr>
        <w:spacing w:after="80"/>
      </w:pPr>
      <w:r>
        <w:t xml:space="preserve">Reflow at 320 CSS pixels wide (equivalent to 1280 px at 400% zoom) and at the largest text size (A++) on phone and desktop: no horizontal scrolling on any tested page.</w:t>
      </w:r>
    </w:p>
    <w:p>
      <w:pPr>
        <w:pStyle w:val="ListParagraph"/>
        <w:numPr>
          <w:ilvl w:val="0"/>
          <w:numId w:val="2"/>
        </w:numPr>
        <w:spacing w:after="80"/>
      </w:pPr>
      <w:r>
        <w:t xml:space="preserve">Text spacing override (line height 1.5, letter spacing 0.12 em, word spacing 0.16 em, paragraph spacing 2 em): no clipped or overlapping text.</w:t>
      </w:r>
    </w:p>
    <w:p>
      <w:pPr>
        <w:pStyle w:val="ListParagraph"/>
        <w:numPr>
          <w:ilvl w:val="0"/>
          <w:numId w:val="2"/>
        </w:numPr>
        <w:spacing w:after="80"/>
      </w:pPr>
      <w:r>
        <w:t xml:space="preserve">Code inspection of templates, scripts and generated markup for names, roles, states, language attributes, headings, landmarks and status messages.</w:t>
      </w:r>
    </w:p>
    <w:p>
      <w:pPr>
        <w:pStyle w:val="Heading1"/>
        <w:keepNext/>
        <w:spacing w:after="120" w:before="240"/>
      </w:pPr>
      <w:r>
        <w:t xml:space="preserve">Applicable standards and guidelines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00"/>
        <w:gridCol w:w="3560"/>
      </w:tblGrid>
      <w:tr>
        <w:trPr>
          <w:cantSplit/>
          <w:tblHeader/>
        </w:trPr>
        <w:tc>
          <w:tcPr>
            <w:tcW w:type="dxa" w:w="58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Standard or guideline</w:t>
            </w:r>
          </w:p>
        </w:tc>
        <w:tc>
          <w:tcPr>
            <w:tcW w:type="dxa" w:w="35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Included in report</w:t>
            </w:r>
          </w:p>
        </w:tc>
      </w:tr>
      <w:tr>
        <w:trPr>
          <w:cantSplit/>
        </w:trPr>
        <w:tc>
          <w:tcPr>
            <w:tcW w:type="dxa" w:w="58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Web Content Accessibility Guidelines 2.0</w:t>
            </w:r>
          </w:p>
        </w:tc>
        <w:tc>
          <w:tcPr>
            <w:tcW w:type="dxa" w:w="35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Level A (Yes), Level AA (Yes), Level AAA (No)</w:t>
            </w:r>
          </w:p>
        </w:tc>
      </w:tr>
      <w:tr>
        <w:trPr>
          <w:cantSplit/>
        </w:trPr>
        <w:tc>
          <w:tcPr>
            <w:tcW w:type="dxa" w:w="58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Web Content Accessibility Guidelines 2.1</w:t>
            </w:r>
          </w:p>
        </w:tc>
        <w:tc>
          <w:tcPr>
            <w:tcW w:type="dxa" w:w="35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Level A (Yes), Level AA (Yes), Level AAA (No)</w:t>
            </w:r>
          </w:p>
        </w:tc>
      </w:tr>
      <w:tr>
        <w:trPr>
          <w:cantSplit/>
        </w:trPr>
        <w:tc>
          <w:tcPr>
            <w:tcW w:type="dxa" w:w="58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Web Content Accessibility Guidelines 2.2</w:t>
            </w:r>
          </w:p>
        </w:tc>
        <w:tc>
          <w:tcPr>
            <w:tcW w:type="dxa" w:w="35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Level A (Yes), Level AA (Yes), Level AAA (No)</w:t>
            </w:r>
          </w:p>
        </w:tc>
      </w:tr>
      <w:tr>
        <w:trPr>
          <w:cantSplit/>
        </w:trPr>
        <w:tc>
          <w:tcPr>
            <w:tcW w:type="dxa" w:w="58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Revised Section 508 standards published January 18, 2017 and corrected January 22, 2018</w:t>
            </w:r>
          </w:p>
        </w:tc>
        <w:tc>
          <w:tcPr>
            <w:tcW w:type="dxa" w:w="35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Yes</w:t>
            </w:r>
          </w:p>
        </w:tc>
      </w:tr>
      <w:tr>
        <w:trPr>
          <w:cantSplit/>
        </w:trPr>
        <w:tc>
          <w:tcPr>
            <w:tcW w:type="dxa" w:w="58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EN 301 549 Accessibility requirements for ICT products and services, V3.2.1 (2021-03)</w:t>
            </w:r>
          </w:p>
        </w:tc>
        <w:tc>
          <w:tcPr>
            <w:tcW w:type="dxa" w:w="35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Yes</w:t>
            </w:r>
          </w:p>
        </w:tc>
      </w:tr>
    </w:tbl>
    <w:p>
      <w:pPr>
        <w:pStyle w:val="Heading1"/>
        <w:keepNext/>
        <w:spacing w:after="120" w:before="240"/>
      </w:pPr>
      <w:r>
        <w:t xml:space="preserve">Terms</w:t>
      </w:r>
    </w:p>
    <w:p>
      <w:pPr>
        <w:spacing w:after="100"/>
      </w:pPr>
      <w:r>
        <w:rPr>
          <w:b/>
          <w:bCs/>
        </w:rPr>
        <w:t xml:space="preserve">Supports: </w:t>
      </w:r>
      <w:r>
        <w:t xml:space="preserve">The functionality of the product has at least one method that meets the criterion without known defects or meets with equivalent facilitation.</w:t>
      </w:r>
    </w:p>
    <w:p>
      <w:pPr>
        <w:spacing w:after="100"/>
      </w:pPr>
      <w:r>
        <w:rPr>
          <w:b/>
          <w:bCs/>
        </w:rPr>
        <w:t xml:space="preserve">Partially Supports: </w:t>
      </w:r>
      <w:r>
        <w:t xml:space="preserve">Some functionality of the product does not meet the criterion.</w:t>
      </w:r>
    </w:p>
    <w:p>
      <w:pPr>
        <w:spacing w:after="100"/>
      </w:pPr>
      <w:r>
        <w:rPr>
          <w:b/>
          <w:bCs/>
        </w:rPr>
        <w:t xml:space="preserve">Does Not Support: </w:t>
      </w:r>
      <w:r>
        <w:t xml:space="preserve">The majority of product functionality does not meet the criterion.</w:t>
      </w:r>
    </w:p>
    <w:p>
      <w:pPr>
        <w:spacing w:after="100"/>
      </w:pPr>
      <w:r>
        <w:rPr>
          <w:b/>
          <w:bCs/>
        </w:rPr>
        <w:t xml:space="preserve">Not Applicable: </w:t>
      </w:r>
      <w:r>
        <w:t xml:space="preserve">The criterion is not relevant to the product.</w:t>
      </w:r>
    </w:p>
    <w:p>
      <w:pPr>
        <w:spacing w:after="100"/>
      </w:pPr>
      <w:r>
        <w:rPr>
          <w:b/>
          <w:bCs/>
        </w:rPr>
        <w:t xml:space="preserve">Not Evaluated: </w:t>
      </w:r>
      <w:r>
        <w:t xml:space="preserve">The product has not been evaluated against the criterion. This can only be used in WCAG Level AAA criteria.</w:t>
      </w:r>
    </w:p>
    <w:p>
      <w:pPr>
        <w:pStyle w:val="Heading1"/>
        <w:pageBreakBefore/>
        <w:spacing w:after="120"/>
      </w:pPr>
      <w:r>
        <w:t xml:space="preserve">WCAG 2.2 Report</w:t>
      </w:r>
    </w:p>
    <w:p>
      <w:pPr>
        <w:pStyle w:val="Heading2"/>
        <w:keepNext/>
        <w:spacing w:after="120" w:before="240"/>
      </w:pPr>
      <w:r>
        <w:t xml:space="preserve">Table 1: Success Criteria, Level A</w:t>
      </w:r>
    </w:p>
    <w:p>
      <w:pPr>
        <w:spacing w:after="120"/>
        <w:rPr>
          <w:i/>
          <w:iCs/>
        </w:rPr>
      </w:pPr>
      <w:r>
        <w:rPr>
          <w:i/>
          <w:iCs/>
        </w:rPr>
        <w:t xml:space="preserve">Each WCAG row also covers the matching EN 301 549 requirements in clause 9 (Web) and, for the downloadable copies of this report, clause 10 (Non-web documents), and the Revised Section 508 requirements in 501.1 (Web) and 602.3 (Electronic support documentation). Section 508 incorporates WCAG 2.0 and EN 301 549 incorporates WCAG 2.1; the website is evaluated against WCAG 2.2, which includes all of their criteria.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1.1.1 Non-text Content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Informative images have text alternatives (for example the logo link "Signin Soft — home" and the country images on the visa page). Decorative illustrations, icons and the background video are hidden from assistive technology. Icon-only controls (help desk, close, menu, social links) have accessible names.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1.2.1 Audio-only and Video-only (Prerecorded)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home page background video is decorative: it has no sound and carries no information that is not in the page text, so it is hidden from assistive technology.</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1.2.2 Captions (Prerecorded)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website has no prerecorded video with audio.</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1.2.3 Audio Description or Media Alternative (Prerecorded)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only video is decorative and conveys no information.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1.3.1 Info and Relationships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Headings follow a logical outline, and lists, landmarks (header, nav, main, footer), tables with header cells, fieldsets with legends and form labels are marked up in HTML. Required fields are marked with an asterisk explained at the top of each form and with the required attribute. Manual screen-reader confirmation is pending (see Notes).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1.3.2 Meaningful Sequence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Reading and focus order follow the visual order at every viewport size.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1.3.3 Sensory Characteristics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Instructions do not rely on shape, color, size, location or sound.</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1.4.1 Use of Color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Links inside text are underlined (and a Highlight links option is available). Selected filters, languages and options are shown by text, borders and ARIA state, not color alone. Form errors use text messages.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1.4.2 Audio Control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website plays no audio; the background video is muted.</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2.1.1 Keyboard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All functionality is operable by keyboard, including the display bar, language menu, Services menu, technology cards, help desk, enquiry wizard, careers filters and search, file upload and cookie controls.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2.1.2 No Keyboard Trap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help desk and enquiry wizard are modal dialogs that keep focus inside while open and close with Escape or the Close button, returning focus to the control that opened them.</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2.1.4 Character Key Shortcuts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website defines no single-character keyboard shortcuts.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2.2.1 Timing Adjustable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There are no time limits. Forms do not expire.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2.2.2 Pause, Stop, Hide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home page video has a visible Pause/Play button. The video, moving partner and training logos and all other animation stop with the Pause motion display setting (available on every page) and when the operating system requests reduced motion.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2.3.1 Three Flashes or Below Threshold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content flashes.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2.4.1 Bypass Blocks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A "Skip to main content" link is the first focusable element and moves focus to the main region; pages use landmarks and headings.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2.4.2 Page Titled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Every page has a descriptive title in its own language.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2.4.3 Focus Order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Focus order is logical. Opening a dialog or panel moves focus into it; closing it returns focus to the opener. Revealing the back of a technology card moves focus to its Show less button.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2.4.4 Link Purpose (In Context)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Link and button text describes the destination, or is described by its surrounding text; repeated "Click More", "Apply" and "View details" controls include the card or job title in their accessible name. Links that open a new tab say so to screen-reader users.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2.5.1 Pointer Gestures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multipoint or path-based gestures are required.</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2.5.2 Pointer Cancellation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Controls activate on release (standard click events).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2.5.3 Label in Name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Accessible names begin with the visible label text (for example the text size buttons A, A+ and A++, and "Click More").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2.5.4 Motion Actuation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functionality is operated by device motion.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3.1.1 Language of Page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Each page declares its language: en-US, es, hi-IN, te-IN or fr.</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3.2.1 On Focus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Receiving focus never changes context.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3.2.2 On Input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Changing a filter, search box, option or form field updates content in place; it does not change context. The language menu only navigates when a language is chosen.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3.2.6 Consistent Help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help desk, phone number and email address appear in the same places on every page.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3.3.1 Error Identification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Form errors are described in text next to each field, the field is marked aria-invalid, and focus moves to the first field with an error.</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3.3.2 Labels or Instructions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Every form field has a visible label; required and optional fields and accepted file types are stated.</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3.3.7 Redundant Entry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enquiry wizard keeps answers between steps and shows them on a review step; nothing is asked for twice.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4.1.1 Parsing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WCAG 2.2 removed this criterion as obsolete. For WCAG 2.0 and 2.1 (Section 508 and EN 301 549), the 2023 errata note it is always satisfied for HTML content.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4.1.2 Name, Role, Value (Level 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Controls use native elements (buttons, links, form fields, dialog) or the ARIA patterns for toggle buttons (aria-pressed) and disclosures (aria-expanded); states update as they change. Manual screen-reader confirmation is pending (see Notes).</w:t>
            </w:r>
          </w:p>
        </w:tc>
      </w:tr>
    </w:tbl>
    <w:p>
      <w:pPr>
        <w:pStyle w:val="Heading2"/>
        <w:keepNext/>
        <w:spacing w:after="120" w:before="240"/>
      </w:pPr>
      <w:r>
        <w:t xml:space="preserve">Table 2: Success Criteria, Level AA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1.2.4 Captions (Live)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website has no live audio or video.</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1.2.5 Audio Description (Prerecorded)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only video is decorative and conveys no information.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1.3.4 Orientation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Content works in portrait and landscape; orientation is not locked.</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1.3.5 Identify Input Purpose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Fields that collect information about the user have autocomplete values (name, organization, email, tel, url).</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1.4.3 Contrast (Minimum)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Text meets 4.5:1 (3:1 for large text) in the default design and in high contrast. Several light grey, light blue and orange text colours in the original design were darkened to meet this.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1.4.4 Resize Text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Text resizes to 200% with browser zoom without loss of content; the display bar also offers three text sizes (A, A+ and A++).</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1.4.5 Images of Text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Text is real text; the only images of text are logos.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1.4.10 Reflow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At 320 CSS px width (400% zoom) content reflows with no horizontal scrolling, also at the largest text size.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1.4.11 Non-text Contrast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Form field borders, focus indicators and control boundaries meet 3:1 against adjacent colours.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1.4.12 Text Spacing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loss of content or function with WCAG text-spacing overrides; boxes that had fixed heights in the original design now grow with their text. The display settings also offer a wider-spacing option.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1.4.13 Content on Hover or Focus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Services menu opens on click or keyboard, stays open while the pointer is over it, and closes with Escape. No other content appears on hover or focus.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2.4.5 Multiple Ways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Pages are reachable from the header navigation, the footer links, the help desk and the sitemap; job pages are also reachable through the careers search and filters.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2.4.6 Headings and Labels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Headings and labels describe their topic or purpose.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2.4.7 Focus Visible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A visible focus outline appears on every focusable element; the Strong focus outline setting makes it thicker.</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2.4.11 Focus Not Obscured (Minimum)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page header is not sticky. While the cookie card is showing, scroll padding keeps focused elements clear of it.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2.5.7 Dragging Movements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functionality requires dragging.</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2.5.8 Target Size (Minimum)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Targets are at least 24 × 24 CSS px or have sufficient spacing; inline links in text are exempt.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3.1.2 Language of Parts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English job descriptions and the English report text on translated pages, and each entry in the language menu, carry lang attributes.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3.2.3 Consistent Navigation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display bar, header, navigation and footer are in the same order on every page and in every language.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3.2.4 Consistent Identification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Components with the same function have the same labels across pages (per language).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3.3.3 Error Suggestion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Error messages say how to fix the problem (for example the expected email format or the accepted file types and size).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3.3.4 Error Prevention (Legal, Financial, Data)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Forms do not create legal commitments or financial transactions. The enquiry wizard has a review step before sending, and visitors can ask for submitted data to be corrected or deleted as described in the privacy policy.</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3.3.8 Accessible Authentication (Minimum)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public website has no sign-in.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4.1.3 Status Messages (Level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careers result count, wizard step changes, form submission status and help desk replies are announced through live regions or role="status" without moving focus. Manual screen-reader confirmation is pending (see Notes).</w:t>
            </w:r>
          </w:p>
        </w:tc>
      </w:tr>
    </w:tbl>
    <w:p>
      <w:pPr>
        <w:pStyle w:val="Heading2"/>
        <w:keepNext/>
        <w:spacing w:after="120" w:before="240"/>
      </w:pPr>
      <w:r>
        <w:t xml:space="preserve">Table 3: Success Criteria, Level AAA</w:t>
      </w:r>
    </w:p>
    <w:p>
      <w:pPr>
        <w:spacing w:after="120"/>
        <w:rPr>
          <w:i/>
          <w:iCs/>
        </w:rPr>
      </w:pPr>
      <w:r>
        <w:rPr>
          <w:i/>
          <w:iCs/>
        </w:rPr>
        <w:t xml:space="preserve">Level AAA conformance is not claimed. The display bar and display settings add several AAA-level options for visitors who need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1.2.6 Sign Language (Prerecorded)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1.2.7 Extended Audio Description (Prerecorded)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1.2.8 Media Alternative (Prerecorded)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1.2.9 Audio-only (Live)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1.3.6 Identify Purpose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1.4.6 Contrast (Enhanced)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formally evaluated. The High contrast setting (white on black, yellow links) is designed to exceed 7:1.</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1.4.7 Low or No Background Audio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1.4.8 Visual Presentation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formally evaluated. The display settings offer larger text, a readable font, wider spacing, a reading guide and high contrast.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1.4.9 Images of Text (No Exception)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2.1.3 Keyboard (No Exception)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2.2.3 No Timing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2.2.4 Interruptions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2.2.5 Re-authenticating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2.2.6 Timeouts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2.3.2 Three Flashes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2.3.3 Animation from Interactions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formally evaluated. The Pause motion setting and the operating-system reduced-motion setting turn off animation.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2.4.8 Location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2.4.9 Link Purpose (Link Only)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2.4.10 Section Headings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2.4.12 Focus Not Obscured (Enhanced)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2.4.13 Focus Appearance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formally evaluated. The Strong focus outline setting draws a 4 px outline with an 8 px contrasting ring.</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2.5.5 Target Size (Enhanced)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2.5.6 Concurrent Input Mechanisms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3.1.3 Unusual Words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3.1.4 Abbreviations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3.1.5 Reading Level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3.1.6 Pronunciation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3.2.5 Change on Request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3.3.5 Help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formally evaluated. The help desk on every page answers common questions in five languages.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3.3.6 Error Prevention (All)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3.3.9 Accessible Authentication (Enhanced) (Level AAA)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Evaluated</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
            </w:r>
          </w:p>
        </w:tc>
      </w:tr>
    </w:tbl>
    <w:p>
      <w:pPr>
        <w:pStyle w:val="Heading1"/>
        <w:pageBreakBefore/>
        <w:spacing w:after="120"/>
      </w:pPr>
      <w:r>
        <w:t xml:space="preserve">Revised Section 508 Report</w:t>
      </w:r>
    </w:p>
    <w:p>
      <w:pPr>
        <w:pStyle w:val="Heading2"/>
        <w:keepNext/>
        <w:spacing w:after="120" w:before="240"/>
      </w:pPr>
      <w:r>
        <w:t xml:space="preserve">Chapter 3: Functional Performance Criteria (FPC)</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302.1 Without Vision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Partially 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Content is structured for screen readers (landmarks, headings, labels, ARIA states, live regions) and passes automated checks, but the manual NVDA and VoiceOver pass has not been done yet. Rated Partially Supports until it is complete.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302.2 With Limited Vision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 400% zoom with reflow, three text sizes (A, A+, A++), high contrast, a readable font, wider spacing, highlighted links, a reading guide and a strong focus outline, all saved per visitor.</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302.3 Without Perception of Color</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Color is never the only means of conveying information.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302.4 Without Hearing</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website has no audio content; the background video is silent.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302.5 With Limited Hearing</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website has no audio content.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302.6 Without Speech</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feature requires speech. Every phone contact has an email or web-form alternative.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302.7 With Limited Manipulation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Full keyboard operation; targets at least 24 × 24 px; no timing, dragging or complex gestures.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302.8 With Limited Reach and Strength</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physical interaction beyond standard input devices is required.</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302.9 With Limited Language, Cognitive, and Learning Abilities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Consistent layout and navigation, specific error messages, every page in five languages, a step-by-step enquiry wizard with a review step, motion that can be stopped, a readable font option, and a help desk that answers common questions.</w:t>
            </w:r>
          </w:p>
        </w:tc>
      </w:tr>
    </w:tbl>
    <w:p>
      <w:pPr>
        <w:pStyle w:val="Heading2"/>
        <w:keepNext/>
        <w:spacing w:after="120" w:before="240"/>
      </w:pPr>
      <w:r>
        <w:t xml:space="preserve">Chapter 4: Hardware</w:t>
      </w:r>
    </w:p>
    <w:p>
      <w:pPr>
        <w:spacing w:after="120"/>
      </w:pPr>
      <w:r>
        <w:t xml:space="preserve">Not Applicable. The product is a website, not hardware.</w:t>
      </w:r>
    </w:p>
    <w:p>
      <w:pPr>
        <w:pStyle w:val="Heading2"/>
        <w:keepNext/>
        <w:spacing w:after="120" w:before="240"/>
      </w:pPr>
      <w:r>
        <w:t xml:space="preserve">Chapter 5: Software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501.1 Scope (incorporation of WCAG 2.0 AA)</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the WCAG 2.2 tables above.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502 Interoperability with Assistive Technology</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product is web content, not a platform or software application.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503 Applications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product is web content, not a software application.</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504 Authoring Tools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public website is not an authoring tool. The WordPress administration area used by staff is not in scope of this report.</w:t>
            </w:r>
          </w:p>
        </w:tc>
      </w:tr>
    </w:tbl>
    <w:p>
      <w:pPr>
        <w:pStyle w:val="Heading2"/>
        <w:keepNext/>
        <w:spacing w:after="120" w:before="240"/>
      </w:pPr>
      <w:r>
        <w:t xml:space="preserve">Chapter 6: Support Documentation and Services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602.2 Accessibility and Compatibility Features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Accessibility Statement and this report describe the accessibility features and how to use them.</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602.3 Electronic Support Documentation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the WCAG 2.2 tables; the statement and this report are web pages tested to the same criteria.</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602.4 Alternate Formats for Non-Electronic Support Documentation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Not Applicable</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There is no non-electronic documentation. Content in another format is available on request.</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603.2 Information on Accessibility and Compatibility Features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Questions about accessibility features are answered by email and phone (contact details above).</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603.3 Accommodation of Communication Needs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Visitors can reach Signin Soft by email, phone (USA, India and Dubai) or the enquiry wizard, in five languages, and can request an alternative way to apply.</w:t>
            </w:r>
          </w:p>
        </w:tc>
      </w:tr>
    </w:tbl>
    <w:p>
      <w:pPr>
        <w:pStyle w:val="Heading1"/>
        <w:pageBreakBefore/>
        <w:spacing w:after="120"/>
      </w:pPr>
      <w:r>
        <w:t xml:space="preserve">EN 301 549 Report</w:t>
      </w:r>
    </w:p>
    <w:p>
      <w:pPr>
        <w:pStyle w:val="Heading2"/>
        <w:keepNext/>
        <w:spacing w:after="120" w:before="240"/>
      </w:pPr>
      <w:r>
        <w:t xml:space="preserve">Clause 4: Functional Performance Statements (FPS)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4.2.1 Usage without vision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Partially 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302.1.</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4.2.2 Usage with limited vision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302.2.</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4.2.3 Usage without perception of colour</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302.3.</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4.2.4 Usage without hearing</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302.4.</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4.2.5 Usage with limited hearing</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302.5.</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4.2.6 Usage with no or limited vocal capability</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302.6.</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4.2.7 Usage with limited manipulation or strength</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302.7 and 302.8.</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4.2.8 Usage with limited reach</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302.8.</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4.2.9 Minimize photosensitive seizure triggers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No content flashes.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4.2.10 Usage with limited cognition, language or learning</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302.9.</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4.2.11 Privacy</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Accessibility features do not expose personal data. Display choices are stored only in the visitor's own browser.</w:t>
            </w:r>
          </w:p>
        </w:tc>
      </w:tr>
    </w:tbl>
    <w:p>
      <w:pPr>
        <w:pStyle w:val="Heading2"/>
        <w:keepNext/>
        <w:spacing w:after="120" w:before="240"/>
      </w:pPr>
      <w:r>
        <w:t xml:space="preserve">Clause 5: Generic Requirements</w:t>
      </w:r>
    </w:p>
    <w:p>
      <w:pPr>
        <w:spacing w:after="120"/>
      </w:pPr>
      <w:r>
        <w:t xml:space="preserve">Not Applicable. Clause 5 covers closed functionality, biometrics, operable parts and similar hardware or platform features; the website relies on the visitor's own browser and assistive technology.</w:t>
      </w:r>
    </w:p>
    <w:p>
      <w:pPr>
        <w:pStyle w:val="Heading2"/>
        <w:keepNext/>
        <w:spacing w:after="120" w:before="240"/>
      </w:pPr>
      <w:r>
        <w:t xml:space="preserve">Clause 6: ICT with Two-Way Voice Communication</w:t>
      </w:r>
    </w:p>
    <w:p>
      <w:pPr>
        <w:spacing w:after="120"/>
      </w:pPr>
      <w:r>
        <w:t xml:space="preserve">Not Applicable. The website has no voice communication.</w:t>
      </w:r>
    </w:p>
    <w:p>
      <w:pPr>
        <w:pStyle w:val="Heading2"/>
        <w:keepNext/>
        <w:spacing w:after="120" w:before="240"/>
      </w:pPr>
      <w:r>
        <w:t xml:space="preserve">Clause 7: ICT with Video Capabilities</w:t>
      </w:r>
    </w:p>
    <w:p>
      <w:pPr>
        <w:spacing w:after="120"/>
      </w:pPr>
      <w:r>
        <w:t xml:space="preserve">Not Applicable. The only video is a silent decorative background; the website does not play, record or stream video content.</w:t>
      </w:r>
    </w:p>
    <w:p>
      <w:pPr>
        <w:pStyle w:val="Heading2"/>
        <w:keepNext/>
        <w:spacing w:after="120" w:before="240"/>
      </w:pPr>
      <w:r>
        <w:t xml:space="preserve">Clause 8: Hardware</w:t>
      </w:r>
    </w:p>
    <w:p>
      <w:pPr>
        <w:spacing w:after="120"/>
      </w:pPr>
      <w:r>
        <w:t xml:space="preserve">Not Applicable. The product is a website.</w:t>
      </w:r>
    </w:p>
    <w:p>
      <w:pPr>
        <w:pStyle w:val="Heading2"/>
        <w:keepNext/>
        <w:spacing w:after="120" w:before="240"/>
      </w:pPr>
      <w:r>
        <w:t xml:space="preserve">Clause 9: Web</w:t>
      </w:r>
    </w:p>
    <w:p>
      <w:pPr>
        <w:spacing w:after="120"/>
      </w:pPr>
      <w:r>
        <w:t xml:space="preserve">See the WCAG 2.2 tables above (clauses 9.1 to 9.4 map one-to-one to WCAG criteria).</w:t>
      </w:r>
    </w:p>
    <w:p>
      <w:pPr>
        <w:pStyle w:val="Heading2"/>
        <w:keepNext/>
        <w:spacing w:after="120" w:before="240"/>
      </w:pPr>
      <w:r>
        <w:t xml:space="preserve">Clause 10: Non-web Documents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10.1–10.4 PDF and Word copies of this report</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Partially 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The PDF is tagged (headings, table header cells, document title and language, bookmarks) and the Word file uses built-in headings and repeating table header rows. These copies have not been checked with a screen reader; the web page is the reference version.</w:t>
            </w:r>
          </w:p>
        </w:tc>
      </w:tr>
    </w:tbl>
    <w:p>
      <w:pPr>
        <w:pStyle w:val="Heading2"/>
        <w:keepNext/>
        <w:spacing w:after="120" w:before="240"/>
      </w:pPr>
      <w:r>
        <w:t xml:space="preserve">Clause 11: Software</w:t>
      </w:r>
    </w:p>
    <w:p>
      <w:pPr>
        <w:spacing w:after="120"/>
      </w:pPr>
      <w:r>
        <w:t xml:space="preserve">Not Applicable. The product is web content; see the WCAG 2.2 tables.</w:t>
      </w:r>
    </w:p>
    <w:p>
      <w:pPr>
        <w:pStyle w:val="Heading2"/>
        <w:keepNext/>
        <w:spacing w:after="120" w:before="240"/>
      </w:pPr>
      <w:r>
        <w:t xml:space="preserve">Clause 12: Documentation and Support Services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700"/>
        <w:gridCol w:w="4960"/>
      </w:tblGrid>
      <w:tr>
        <w:trPr>
          <w:cantSplit/>
          <w:tblHeader/>
        </w:trPr>
        <w:tc>
          <w:tcPr>
            <w:tcW w:type="dxa" w:w="2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Criteria</w:t>
            </w:r>
          </w:p>
        </w:tc>
        <w:tc>
          <w:tcPr>
            <w:tcW w:type="dxa" w:w="170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Conformance Level</w:t>
            </w:r>
          </w:p>
        </w:tc>
        <w:tc>
          <w:tcPr>
            <w:tcW w:type="dxa" w:w="4960"/>
            <w:tcBorders>
              <w:top w:val="single" w:color="C9D2E3" w:sz="4"/>
              <w:left w:val="single" w:color="C9D2E3" w:sz="4"/>
              <w:bottom w:val="single" w:color="C9D2E3" w:sz="4"/>
              <w:right w:val="single" w:color="C9D2E3" w:sz="4"/>
            </w:tcBorders>
            <w:shd w:fill="EEF2F9" w:color="auto" w:val="clear"/>
            <w:tcMar>
              <w:top w:type="dxa" w:w="80"/>
              <w:left w:type="dxa" w:w="100"/>
              <w:bottom w:type="dxa" w:w="80"/>
              <w:right w:type="dxa" w:w="100"/>
            </w:tcMar>
          </w:tcPr>
          <w:p>
            <w:r>
              <w:rPr>
                <w:b/>
                <w:bCs/>
                <w:sz w:val="19"/>
                <w:szCs w:val="19"/>
              </w:rPr>
              <w:t xml:space="preserve">Remarks and Explanations</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12.1.1 Accessibility and compatibility features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602.2.</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12.1.2 Accessible documentation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602.3.</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12.2.2 Information on accessibility and compatibility features</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603.2.</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12.2.3 Effective communication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603.3.</w:t>
            </w:r>
          </w:p>
        </w:tc>
      </w:tr>
      <w:tr>
        <w:trPr>
          <w:cantSplit/>
        </w:trPr>
        <w:tc>
          <w:tcPr>
            <w:tcW w:type="dxa" w:w="2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bCs/>
                <w:sz w:val="19"/>
                <w:szCs w:val="19"/>
              </w:rPr>
              <w:t xml:space="preserve">12.2.4 Accessible documentation</w:t>
            </w:r>
          </w:p>
        </w:tc>
        <w:tc>
          <w:tcPr>
            <w:tcW w:type="dxa" w:w="170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Supports</w:t>
            </w:r>
          </w:p>
        </w:tc>
        <w:tc>
          <w:tcPr>
            <w:tcW w:type="dxa" w:w="4960"/>
            <w:tcBorders>
              <w:top w:val="single" w:color="C9D2E3" w:sz="4"/>
              <w:left w:val="single" w:color="C9D2E3" w:sz="4"/>
              <w:bottom w:val="single" w:color="C9D2E3" w:sz="4"/>
              <w:right w:val="single" w:color="C9D2E3" w:sz="4"/>
            </w:tcBorders>
            <w:tcMar>
              <w:top w:type="dxa" w:w="80"/>
              <w:left w:type="dxa" w:w="100"/>
              <w:bottom w:type="dxa" w:w="80"/>
              <w:right w:type="dxa" w:w="100"/>
            </w:tcMar>
          </w:tcPr>
          <w:p>
            <w:r>
              <w:rPr>
                <w:b w:val="false"/>
                <w:bCs w:val="false"/>
                <w:sz w:val="19"/>
                <w:szCs w:val="19"/>
              </w:rPr>
              <w:t xml:space="preserve">See 602.3.</w:t>
            </w:r>
          </w:p>
        </w:tc>
      </w:tr>
    </w:tbl>
    <w:p>
      <w:pPr>
        <w:pStyle w:val="Heading2"/>
        <w:keepNext/>
        <w:spacing w:after="120" w:before="240"/>
      </w:pPr>
      <w:r>
        <w:t xml:space="preserve">Clause 13: ICT Providing Relay or Emergency Service Access</w:t>
      </w:r>
    </w:p>
    <w:p>
      <w:pPr>
        <w:spacing w:after="120"/>
      </w:pPr>
      <w:r>
        <w:t xml:space="preserve">Not Applicable.</w:t>
      </w:r>
    </w:p>
    <w:p>
      <w:pPr>
        <w:pStyle w:val="Heading1"/>
        <w:keepNext/>
        <w:spacing w:after="120" w:before="240"/>
      </w:pPr>
      <w:r>
        <w:t xml:space="preserve">Legal disclaimer</w:t>
      </w:r>
    </w:p>
    <w:p>
      <w:pPr>
        <w:spacing w:after="120"/>
      </w:pPr>
      <w:r>
        <w:t xml:space="preserve">VPAT® is a registered service mark of the Information Technology Industry Council (ITI). This document is a self-assessment and does not represent a certification; ITI does not review or approve VPATs.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A5670"/>
        <w:sz w:val="16"/>
        <w:szCs w:val="16"/>
      </w:rPr>
      <w:t xml:space="preserve">Signin Soft ACR 1.0 (interim) · Page </w:t>
    </w:r>
    <w:r>
      <w:rPr>
        <w:color w:val="4A56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en-US"/>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b/>
      <w:bCs/>
      <w:color w:val="0D1423"/>
      <w:sz w:val="40"/>
      <w:szCs w:val="40"/>
    </w:rPr>
  </w:style>
  <w:style w:type="paragraph" w:styleId="Heading1">
    <w:name w:val="Heading 1"/>
    <w:basedOn w:val="Normal"/>
    <w:next w:val="Normal"/>
    <w:qFormat/>
    <w:pPr>
      <w:spacing w:after="120" w:before="280"/>
      <w:outlineLvl w:val="0"/>
    </w:pPr>
    <w:rPr>
      <w:b/>
      <w:bCs/>
      <w:color w:val="0D1423"/>
      <w:sz w:val="30"/>
      <w:szCs w:val="30"/>
    </w:rPr>
  </w:style>
  <w:style w:type="paragraph" w:styleId="Heading2">
    <w:name w:val="Heading 2"/>
    <w:basedOn w:val="Normal"/>
    <w:next w:val="Normal"/>
    <w:qFormat/>
    <w:pPr>
      <w:spacing w:after="100" w:before="220"/>
      <w:outlineLvl w:val="1"/>
    </w:pPr>
    <w:rPr>
      <w:b/>
      <w:bCs/>
      <w:color w:val="0D1423"/>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Signin Soft Accessibility Conformance Report</dc:title>
  <dc:subject>Accessibility Conformance Report (VPAT 2.5Rev INT)</dc:subject>
  <dc:creator>KnackHook</dc:creator>
  <cp:keywords>VPAT, ACR, WCAG 2.2, Section 508, EN 301 549</cp:keywords>
  <dc:description>Version 1.0 (interim), October 19, 2026</dc:description>
  <cp:lastModifiedBy>Un-named</cp:lastModifiedBy>
  <cp:revision>1</cp:revision>
  <dcterms:created xsi:type="dcterms:W3CDTF">2026-10-19T23:45:34.512Z</dcterms:created>
  <dcterms:modified xsi:type="dcterms:W3CDTF">2026-10-19T23:45:34.513Z</dcterms:modified>
</cp:coreProperties>
</file>

<file path=docProps/custom.xml><?xml version="1.0" encoding="utf-8"?>
<Properties xmlns="http://schemas.openxmlformats.org/officeDocument/2006/custom-properties" xmlns:vt="http://schemas.openxmlformats.org/officeDocument/2006/docPropsVTypes"/>
</file>